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3"/>
        <w:ind w:left="2318" w:right="25" w:firstLine="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w w:val="110"/>
          <w:sz w:val="24"/>
        </w:rPr>
        <w:t>MEMORIA DE CALIDADES </w:t>
      </w:r>
      <w:r>
        <w:rPr>
          <w:rFonts w:ascii="Times New Roman" w:hAnsi="Times New Roman"/>
          <w:b/>
          <w:color w:val="F67004"/>
          <w:w w:val="110"/>
          <w:sz w:val="32"/>
        </w:rPr>
        <w:t>EDIFICIO FÉNIX</w:t>
      </w:r>
    </w:p>
    <w:p>
      <w:pPr>
        <w:pStyle w:val="Heading1"/>
        <w:spacing w:line="257" w:lineRule="exact"/>
      </w:pPr>
      <w:r>
        <w:rPr/>
        <w:t>CIMENTACION Y ESTRUCTURA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Cimentación y estructura </w:t>
      </w:r>
      <w:r>
        <w:rPr>
          <w:u w:val="none"/>
        </w:rPr>
        <w:t>de edificación constituida por zapatas, pilares y forjados reticulares en hormigón armado, conforme a las consideraciones del estudio geotécnico y cumpliendo la normativa aplicable</w:t>
      </w:r>
    </w:p>
    <w:p>
      <w:pPr>
        <w:pStyle w:val="BodyText"/>
        <w:spacing w:before="1"/>
        <w:rPr>
          <w:sz w:val="17"/>
          <w:u w:val="none"/>
        </w:rPr>
      </w:pPr>
    </w:p>
    <w:p>
      <w:pPr>
        <w:pStyle w:val="Heading1"/>
      </w:pPr>
      <w:r>
        <w:rPr/>
        <w:t>FACHADA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460375</wp:posOffset>
            </wp:positionH>
            <wp:positionV relativeFrom="paragraph">
              <wp:posOffset>77751</wp:posOffset>
            </wp:positionV>
            <wp:extent cx="6635750" cy="680085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Fachadas exteriores </w:t>
      </w:r>
      <w:r>
        <w:rPr>
          <w:u w:val="none"/>
        </w:rPr>
        <w:t>de material cerámico con aislante.</w:t>
      </w:r>
    </w:p>
    <w:p>
      <w:pPr>
        <w:pStyle w:val="BodyText"/>
        <w:spacing w:before="10"/>
        <w:rPr>
          <w:sz w:val="10"/>
          <w:u w:val="none"/>
        </w:rPr>
      </w:pPr>
    </w:p>
    <w:p>
      <w:pPr>
        <w:pStyle w:val="Heading1"/>
        <w:spacing w:before="71"/>
      </w:pPr>
      <w:r>
        <w:rPr/>
        <w:t>CUBIERTA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Cubiertas no transitables </w:t>
      </w:r>
      <w:r>
        <w:rPr>
          <w:u w:val="none"/>
        </w:rPr>
        <w:t>planas, protegida con grava, con solución tipo invertida del CTE.</w:t>
      </w:r>
    </w:p>
    <w:p>
      <w:pPr>
        <w:pStyle w:val="BodyText"/>
        <w:spacing w:before="1"/>
        <w:ind w:left="100" w:right="25"/>
        <w:rPr>
          <w:u w:val="none"/>
        </w:rPr>
      </w:pPr>
      <w:r>
        <w:rPr>
          <w:u w:val="single"/>
        </w:rPr>
        <w:t>Cubiertas transitables </w:t>
      </w:r>
      <w:r>
        <w:rPr>
          <w:u w:val="none"/>
        </w:rPr>
        <w:t>privadas y comunes, soladas con gres antideslizante, con solución tipo plana del CTE.</w:t>
      </w:r>
    </w:p>
    <w:p>
      <w:pPr>
        <w:pStyle w:val="BodyText"/>
        <w:spacing w:before="10"/>
        <w:rPr>
          <w:sz w:val="10"/>
          <w:u w:val="none"/>
        </w:rPr>
      </w:pPr>
    </w:p>
    <w:p>
      <w:pPr>
        <w:pStyle w:val="Heading1"/>
        <w:spacing w:before="71"/>
      </w:pPr>
      <w:r>
        <w:rPr/>
        <w:t>PARTICIONES INTERIORES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87"/>
        <w:rPr>
          <w:u w:val="none"/>
        </w:rPr>
      </w:pPr>
      <w:r>
        <w:rPr>
          <w:u w:val="single"/>
        </w:rPr>
        <w:t>Tabiquería interior </w:t>
      </w:r>
      <w:r>
        <w:rPr>
          <w:u w:val="none"/>
        </w:rPr>
        <w:t>de material cerámico enlucido de yeso según exigencias del CTE. O en pladul a definir en el proyecto por la D.T.</w:t>
      </w:r>
    </w:p>
    <w:p>
      <w:pPr>
        <w:pStyle w:val="BodyText"/>
        <w:spacing w:before="1"/>
        <w:rPr>
          <w:sz w:val="17"/>
          <w:u w:val="none"/>
        </w:rPr>
      </w:pPr>
    </w:p>
    <w:p>
      <w:pPr>
        <w:pStyle w:val="Heading1"/>
      </w:pPr>
      <w:r>
        <w:rPr/>
        <w:t>PAVIMENTOS</w:t>
      </w:r>
    </w:p>
    <w:p>
      <w:pPr>
        <w:pStyle w:val="BodyText"/>
        <w:spacing w:before="10"/>
        <w:rPr>
          <w:b/>
          <w:sz w:val="16"/>
          <w:u w:val="none"/>
        </w:rPr>
      </w:pPr>
    </w:p>
    <w:p>
      <w:pPr>
        <w:pStyle w:val="BodyText"/>
        <w:ind w:left="100" w:right="2375"/>
        <w:rPr>
          <w:u w:val="none"/>
        </w:rPr>
      </w:pPr>
      <w:r>
        <w:rPr>
          <w:u w:val="single"/>
        </w:rPr>
        <w:t>Tarima flotante </w:t>
      </w:r>
      <w:r>
        <w:rPr>
          <w:u w:val="none"/>
        </w:rPr>
        <w:t>en salones, dormitorios, pasillos y vestíbulos, acabado de madera roble. </w:t>
      </w:r>
      <w:r>
        <w:rPr>
          <w:u w:val="single"/>
        </w:rPr>
        <w:t>Plaqueta cerámica gres </w:t>
      </w:r>
      <w:r>
        <w:rPr>
          <w:u w:val="none"/>
        </w:rPr>
        <w:t>en cocinas, lavaderos y baños.</w:t>
      </w:r>
    </w:p>
    <w:p>
      <w:pPr>
        <w:pStyle w:val="BodyText"/>
        <w:ind w:left="100" w:right="5710"/>
        <w:rPr>
          <w:u w:val="none"/>
        </w:rPr>
      </w:pPr>
      <w:r>
        <w:rPr>
          <w:u w:val="single"/>
        </w:rPr>
        <w:t>Gres antideslizante </w:t>
      </w:r>
      <w:r>
        <w:rPr>
          <w:u w:val="none"/>
        </w:rPr>
        <w:t>en terrazas comunes y privadas. </w:t>
      </w:r>
      <w:r>
        <w:rPr>
          <w:u w:val="single"/>
        </w:rPr>
        <w:t>Gres </w:t>
      </w:r>
      <w:r>
        <w:rPr>
          <w:u w:val="none"/>
        </w:rPr>
        <w:t>en recinto de piscina y locales técnicos.</w:t>
      </w: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Piedra natural o Granito nacional </w:t>
      </w:r>
      <w:r>
        <w:rPr>
          <w:u w:val="none"/>
        </w:rPr>
        <w:t>en portales y escaleras comunes.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Heading1"/>
      </w:pPr>
      <w:r>
        <w:rPr/>
        <w:t>ALICATADOS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none"/>
        </w:rPr>
        <w:t>Revestimiento de material cerámico, primera calidad y en diferentes formatos y tonos para elegir en cocinas, lavaderos y baños, según criterio DF.</w:t>
      </w:r>
    </w:p>
    <w:p>
      <w:pPr>
        <w:pStyle w:val="BodyText"/>
        <w:spacing w:before="1"/>
        <w:rPr>
          <w:sz w:val="17"/>
          <w:u w:val="none"/>
        </w:rPr>
      </w:pPr>
    </w:p>
    <w:p>
      <w:pPr>
        <w:pStyle w:val="Heading1"/>
      </w:pPr>
      <w:r>
        <w:rPr/>
        <w:t>PINTURAS Y FALSOS TECHOS</w:t>
      </w:r>
    </w:p>
    <w:p>
      <w:pPr>
        <w:pStyle w:val="BodyText"/>
        <w:spacing w:before="9"/>
        <w:rPr>
          <w:b/>
          <w:sz w:val="21"/>
          <w:u w:val="none"/>
        </w:rPr>
      </w:pPr>
    </w:p>
    <w:p>
      <w:pPr>
        <w:pStyle w:val="BodyText"/>
        <w:ind w:left="100" w:right="1948"/>
        <w:rPr>
          <w:u w:val="none"/>
        </w:rPr>
      </w:pPr>
      <w:r>
        <w:rPr>
          <w:u w:val="single"/>
        </w:rPr>
        <w:t>Pintura plástica lisa de color suave</w:t>
      </w:r>
      <w:r>
        <w:rPr>
          <w:u w:val="none"/>
        </w:rPr>
        <w:t>, sobre paramentos horizontales y verticales de estancias. </w:t>
      </w:r>
      <w:r>
        <w:rPr>
          <w:u w:val="single"/>
        </w:rPr>
        <w:t>Pintura plástica lisa </w:t>
      </w:r>
      <w:r>
        <w:rPr>
          <w:u w:val="none"/>
        </w:rPr>
        <w:t>de </w:t>
      </w:r>
      <w:r>
        <w:rPr>
          <w:u w:val="single"/>
        </w:rPr>
        <w:t>color blanco </w:t>
      </w:r>
      <w:r>
        <w:rPr>
          <w:u w:val="none"/>
        </w:rPr>
        <w:t>sobre falsos techos de vestíbulos, cocinas y baños.</w:t>
      </w:r>
    </w:p>
    <w:p>
      <w:pPr>
        <w:pStyle w:val="BodyText"/>
        <w:rPr>
          <w:sz w:val="16"/>
          <w:u w:val="none"/>
        </w:rPr>
      </w:pPr>
    </w:p>
    <w:p>
      <w:pPr>
        <w:pStyle w:val="Heading1"/>
        <w:spacing w:before="70"/>
      </w:pPr>
      <w:r>
        <w:rPr/>
        <w:t>AGUA CALIENTE SANITARIA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none"/>
        </w:rPr>
        <w:t>Producción de ACS individualizada por cada vivienda mediante energía solar y apoyo de caldera eléctrica o gas, de alta eficiencia energética.</w:t>
      </w:r>
    </w:p>
    <w:p>
      <w:pPr>
        <w:pStyle w:val="BodyText"/>
        <w:rPr>
          <w:u w:val="none"/>
        </w:rPr>
      </w:pPr>
    </w:p>
    <w:p>
      <w:pPr>
        <w:pStyle w:val="Heading1"/>
      </w:pPr>
      <w:r>
        <w:rPr/>
        <w:t>CLIMATIZACION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none"/>
        </w:rPr>
        <w:t>Instalación completa de aire acondicionado F/C, controlada por estancias y distribución por conductos, con rejillas de impulsión en salón-comedor y dormitorios.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381" w:top="1520" w:bottom="280" w:left="620" w:right="600"/>
        </w:sectPr>
      </w:pPr>
    </w:p>
    <w:p>
      <w:pPr>
        <w:spacing w:line="367" w:lineRule="exact" w:before="3"/>
        <w:ind w:left="2318" w:right="25" w:firstLine="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w w:val="110"/>
          <w:sz w:val="24"/>
        </w:rPr>
        <w:t>MEMORIA DE CALIDADES </w:t>
      </w:r>
      <w:r>
        <w:rPr>
          <w:rFonts w:ascii="Times New Roman" w:hAnsi="Times New Roman"/>
          <w:b/>
          <w:color w:val="F67004"/>
          <w:w w:val="110"/>
          <w:sz w:val="32"/>
        </w:rPr>
        <w:t>EDIFICIO FÉNIX</w:t>
      </w:r>
    </w:p>
    <w:p>
      <w:pPr>
        <w:pStyle w:val="Heading1"/>
        <w:spacing w:line="257" w:lineRule="exact"/>
      </w:pPr>
      <w:r>
        <w:rPr/>
        <w:t>ELECTRICIDAD Y TELECOMUNICACIONES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4427"/>
        <w:rPr>
          <w:u w:val="none"/>
        </w:rPr>
      </w:pPr>
      <w:r>
        <w:rPr>
          <w:u w:val="single"/>
        </w:rPr>
        <w:t>Mecanismos </w:t>
      </w:r>
      <w:r>
        <w:rPr>
          <w:u w:val="none"/>
        </w:rPr>
        <w:t>eléctricos primera calidad, marca NIESSEN o similar. </w:t>
      </w:r>
      <w:r>
        <w:rPr>
          <w:u w:val="single"/>
        </w:rPr>
        <w:t>Tomas </w:t>
      </w:r>
      <w:r>
        <w:rPr>
          <w:u w:val="none"/>
        </w:rPr>
        <w:t>de TV y teléfono en salón, dormitorios y cocina.</w:t>
      </w:r>
    </w:p>
    <w:p>
      <w:pPr>
        <w:pStyle w:val="BodyText"/>
        <w:spacing w:line="257" w:lineRule="exact" w:before="1"/>
        <w:ind w:left="100" w:right="25"/>
        <w:rPr>
          <w:u w:val="none"/>
        </w:rPr>
      </w:pPr>
      <w:r>
        <w:rPr>
          <w:u w:val="single"/>
        </w:rPr>
        <w:t>Instalación toma </w:t>
      </w:r>
      <w:r>
        <w:rPr>
          <w:u w:val="none"/>
        </w:rPr>
        <w:t>TV en terrazas.</w:t>
      </w:r>
    </w:p>
    <w:p>
      <w:pPr>
        <w:pStyle w:val="BodyText"/>
        <w:ind w:left="100" w:right="4148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431407">
            <wp:simplePos x="0" y="0"/>
            <wp:positionH relativeFrom="page">
              <wp:posOffset>460375</wp:posOffset>
            </wp:positionH>
            <wp:positionV relativeFrom="paragraph">
              <wp:posOffset>295682</wp:posOffset>
            </wp:positionV>
            <wp:extent cx="6635750" cy="6800850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Video portero </w:t>
      </w:r>
      <w:r>
        <w:rPr>
          <w:u w:val="none"/>
        </w:rPr>
        <w:t>automático en color con terminal en entrada vivienda. </w:t>
      </w:r>
      <w:r>
        <w:rPr>
          <w:u w:val="single"/>
        </w:rPr>
        <w:t>Preinstalación </w:t>
      </w:r>
      <w:r>
        <w:rPr>
          <w:u w:val="none"/>
        </w:rPr>
        <w:t>de TV vía satélite y por cable.</w:t>
      </w:r>
    </w:p>
    <w:p>
      <w:pPr>
        <w:pStyle w:val="BodyText"/>
        <w:ind w:left="100" w:right="3074"/>
        <w:rPr>
          <w:u w:val="none"/>
        </w:rPr>
      </w:pPr>
      <w:r>
        <w:rPr>
          <w:u w:val="single"/>
        </w:rPr>
        <w:t>Instalación </w:t>
      </w:r>
      <w:r>
        <w:rPr>
          <w:u w:val="none"/>
        </w:rPr>
        <w:t>de Infraestructura de Telecomunicaciones, según normativa vigente. </w:t>
      </w:r>
      <w:r>
        <w:rPr>
          <w:u w:val="single"/>
        </w:rPr>
        <w:t>Preinstalación de domótica </w:t>
      </w:r>
      <w:r>
        <w:rPr>
          <w:u w:val="none"/>
        </w:rPr>
        <w:t>básica solo tubos en vacío en cada vivienda.</w:t>
      </w:r>
    </w:p>
    <w:p>
      <w:pPr>
        <w:pStyle w:val="BodyText"/>
        <w:rPr>
          <w:sz w:val="16"/>
          <w:u w:val="none"/>
        </w:rPr>
      </w:pPr>
    </w:p>
    <w:p>
      <w:pPr>
        <w:pStyle w:val="Heading1"/>
        <w:spacing w:before="70"/>
      </w:pPr>
      <w:r>
        <w:rPr/>
        <w:t>APARATOS SANITARIOS Y GRIFERIAS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6704"/>
        <w:rPr>
          <w:u w:val="none"/>
        </w:rPr>
      </w:pPr>
      <w:r>
        <w:rPr>
          <w:u w:val="single"/>
        </w:rPr>
        <w:t>Baño principal</w:t>
      </w:r>
      <w:r>
        <w:rPr>
          <w:u w:val="none"/>
        </w:rPr>
        <w:t>: Plato ducha gran formato </w:t>
      </w:r>
      <w:r>
        <w:rPr>
          <w:u w:val="single"/>
        </w:rPr>
        <w:t>Baño secundario</w:t>
      </w:r>
      <w:r>
        <w:rPr>
          <w:u w:val="none"/>
        </w:rPr>
        <w:t>: Plato ducha</w:t>
      </w: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Sanitarios</w:t>
      </w:r>
      <w:r>
        <w:rPr>
          <w:u w:val="none"/>
        </w:rPr>
        <w:t>: marca Roca o similar.</w:t>
      </w:r>
    </w:p>
    <w:p>
      <w:pPr>
        <w:pStyle w:val="BodyText"/>
        <w:spacing w:before="1"/>
        <w:ind w:left="100" w:right="25"/>
        <w:rPr>
          <w:u w:val="none"/>
        </w:rPr>
      </w:pPr>
      <w:r>
        <w:rPr>
          <w:u w:val="single"/>
        </w:rPr>
        <w:t>Grifería </w:t>
      </w:r>
      <w:r>
        <w:rPr>
          <w:u w:val="none"/>
        </w:rPr>
        <w:t>tipo monomando, marca Grohe o similar.</w:t>
      </w:r>
    </w:p>
    <w:p>
      <w:pPr>
        <w:pStyle w:val="BodyText"/>
        <w:rPr>
          <w:sz w:val="16"/>
          <w:u w:val="none"/>
        </w:rPr>
      </w:pPr>
    </w:p>
    <w:p>
      <w:pPr>
        <w:pStyle w:val="Heading1"/>
        <w:spacing w:before="70"/>
      </w:pPr>
      <w:r>
        <w:rPr/>
        <w:t>CARPINTERIA INTERIOR</w:t>
      </w:r>
    </w:p>
    <w:p>
      <w:pPr>
        <w:pStyle w:val="BodyText"/>
        <w:rPr>
          <w:b/>
          <w:u w:val="none"/>
        </w:rPr>
      </w:pP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Puertas de paso </w:t>
      </w:r>
      <w:r>
        <w:rPr>
          <w:u w:val="none"/>
        </w:rPr>
        <w:t>en madera de roble o similar, sistema de apertura con manivela.</w:t>
      </w: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Puerta de entrada </w:t>
      </w:r>
      <w:r>
        <w:rPr>
          <w:u w:val="none"/>
        </w:rPr>
        <w:t>blindada, sistema de apertura con pomo exterior y manivela interior, con mirilla óptica.</w:t>
      </w:r>
    </w:p>
    <w:p>
      <w:pPr>
        <w:pStyle w:val="BodyText"/>
        <w:rPr>
          <w:sz w:val="16"/>
          <w:u w:val="none"/>
        </w:rPr>
      </w:pPr>
    </w:p>
    <w:p>
      <w:pPr>
        <w:pStyle w:val="Heading1"/>
        <w:spacing w:before="70"/>
      </w:pPr>
      <w:r>
        <w:rPr/>
        <w:t>CARPINTERIA EXTERIOR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De aluminio lacado, o PVC </w:t>
      </w:r>
      <w:r>
        <w:rPr>
          <w:u w:val="none"/>
        </w:rPr>
        <w:t>según D.T. con sistema de apertura abatible o corredera según necesidades de cada estancia.</w:t>
      </w:r>
    </w:p>
    <w:p>
      <w:pPr>
        <w:pStyle w:val="BodyText"/>
        <w:spacing w:before="1"/>
        <w:ind w:left="100" w:right="25"/>
        <w:rPr>
          <w:u w:val="none"/>
        </w:rPr>
      </w:pPr>
      <w:r>
        <w:rPr>
          <w:u w:val="single"/>
        </w:rPr>
        <w:t>Persianas </w:t>
      </w:r>
      <w:r>
        <w:rPr>
          <w:u w:val="none"/>
        </w:rPr>
        <w:t>aluminio con aislante térmico, en dormitorios y salones entonada con carpintería</w:t>
      </w:r>
    </w:p>
    <w:p>
      <w:pPr>
        <w:pStyle w:val="BodyText"/>
        <w:rPr>
          <w:sz w:val="16"/>
          <w:u w:val="none"/>
        </w:rPr>
      </w:pPr>
    </w:p>
    <w:p>
      <w:pPr>
        <w:pStyle w:val="Heading1"/>
        <w:spacing w:before="70"/>
      </w:pPr>
      <w:r>
        <w:rPr/>
        <w:t>GARAJE</w:t>
      </w:r>
    </w:p>
    <w:p>
      <w:pPr>
        <w:pStyle w:val="BodyText"/>
        <w:rPr>
          <w:b/>
          <w:u w:val="none"/>
        </w:rPr>
      </w:pP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Totalmente equipado </w:t>
      </w:r>
      <w:r>
        <w:rPr>
          <w:u w:val="none"/>
        </w:rPr>
        <w:t>según la normativa aplicable.</w:t>
      </w: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Puertas de accesos </w:t>
      </w:r>
      <w:r>
        <w:rPr>
          <w:u w:val="none"/>
        </w:rPr>
        <w:t>hasta la planta general de garaje, automáticas, accionadas mediante mando a distancia o llave magnética.</w:t>
      </w: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Pintura plástica </w:t>
      </w:r>
      <w:r>
        <w:rPr>
          <w:u w:val="none"/>
        </w:rPr>
        <w:t>en zócalo con banda de señalización</w:t>
      </w:r>
    </w:p>
    <w:p>
      <w:pPr>
        <w:pStyle w:val="BodyText"/>
        <w:spacing w:before="1"/>
        <w:ind w:left="100" w:right="25"/>
        <w:rPr>
          <w:u w:val="none"/>
        </w:rPr>
      </w:pPr>
      <w:r>
        <w:rPr>
          <w:u w:val="single"/>
        </w:rPr>
        <w:t>Pavimento </w:t>
      </w:r>
      <w:r>
        <w:rPr>
          <w:u w:val="none"/>
        </w:rPr>
        <w:t>de hormigón pulido en zonas de rodadura y Baldosa hidráulica o bordillos de hormigón en rampas. Baldosa hidráulica antideslizante en zonas peatonales.</w:t>
      </w:r>
    </w:p>
    <w:p>
      <w:pPr>
        <w:pStyle w:val="BodyText"/>
        <w:rPr>
          <w:u w:val="none"/>
        </w:rPr>
      </w:pPr>
    </w:p>
    <w:p>
      <w:pPr>
        <w:pStyle w:val="Heading1"/>
      </w:pPr>
      <w:r>
        <w:rPr/>
        <w:t>ACRISTALAMIENTO</w:t>
      </w:r>
    </w:p>
    <w:p>
      <w:pPr>
        <w:pStyle w:val="BodyText"/>
        <w:rPr>
          <w:b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Doble acristalamiento </w:t>
      </w:r>
      <w:r>
        <w:rPr>
          <w:u w:val="none"/>
        </w:rPr>
        <w:t>tipo Climalit. 6+6+6 según exigencias de CTE.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Heading1"/>
      </w:pPr>
      <w:r>
        <w:rPr/>
        <w:t>URBANIZACION Y EQUIPAMIENTO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Piscina comunitaria</w:t>
      </w:r>
      <w:r>
        <w:rPr>
          <w:u w:val="none"/>
        </w:rPr>
        <w:t>, totalmente equipada</w:t>
      </w:r>
    </w:p>
    <w:p>
      <w:pPr>
        <w:pStyle w:val="BodyText"/>
        <w:spacing w:before="1"/>
        <w:rPr>
          <w:sz w:val="11"/>
          <w:u w:val="none"/>
        </w:rPr>
      </w:pPr>
    </w:p>
    <w:p>
      <w:pPr>
        <w:pStyle w:val="Heading1"/>
        <w:spacing w:before="70"/>
      </w:pPr>
      <w:r>
        <w:rPr/>
        <w:t>URBANIZACION Y EQUIPAMIENTO</w:t>
      </w:r>
    </w:p>
    <w:p>
      <w:pPr>
        <w:pStyle w:val="BodyText"/>
        <w:spacing w:before="1"/>
        <w:rPr>
          <w:b/>
          <w:sz w:val="17"/>
          <w:u w:val="none"/>
        </w:rPr>
      </w:pPr>
    </w:p>
    <w:p>
      <w:pPr>
        <w:pStyle w:val="BodyText"/>
        <w:ind w:left="100" w:right="25"/>
        <w:rPr>
          <w:u w:val="none"/>
        </w:rPr>
      </w:pPr>
      <w:r>
        <w:rPr>
          <w:u w:val="single"/>
        </w:rPr>
        <w:t>Piscina comunitaria</w:t>
      </w:r>
      <w:r>
        <w:rPr>
          <w:u w:val="none"/>
        </w:rPr>
        <w:t>, totalmente equipada conforme las exigencias de normativa vigente, con tratamiento de depuración mediante sistema de ionización salina.</w:t>
      </w:r>
    </w:p>
    <w:p>
      <w:pPr>
        <w:pStyle w:val="BodyText"/>
        <w:spacing w:before="1"/>
        <w:ind w:left="100" w:right="5596"/>
        <w:rPr>
          <w:u w:val="none"/>
        </w:rPr>
      </w:pPr>
      <w:r>
        <w:rPr>
          <w:u w:val="single"/>
        </w:rPr>
        <w:t>Pista de pádel </w:t>
      </w:r>
      <w:r>
        <w:rPr>
          <w:u w:val="none"/>
        </w:rPr>
        <w:t>con césped artificial e iluminación. </w:t>
      </w:r>
      <w:r>
        <w:rPr>
          <w:u w:val="single"/>
        </w:rPr>
        <w:t>Instalación de riego </w:t>
      </w:r>
      <w:r>
        <w:rPr>
          <w:u w:val="none"/>
        </w:rPr>
        <w:t>automático en zonas ajardinadas</w:t>
      </w:r>
    </w:p>
    <w:p>
      <w:pPr>
        <w:pStyle w:val="BodyText"/>
        <w:ind w:left="100" w:right="1802"/>
        <w:rPr>
          <w:u w:val="none"/>
        </w:rPr>
      </w:pPr>
      <w:r>
        <w:rPr>
          <w:u w:val="single"/>
        </w:rPr>
        <w:t>Pavimentos </w:t>
      </w:r>
      <w:r>
        <w:rPr>
          <w:u w:val="none"/>
        </w:rPr>
        <w:t>de baldosa hidráulica o bordillos de hormigón antideslizante en zonas peatonales </w:t>
      </w:r>
      <w:r>
        <w:rPr>
          <w:u w:val="single"/>
        </w:rPr>
        <w:t>Alumbrado inteligente </w:t>
      </w:r>
      <w:r>
        <w:rPr>
          <w:u w:val="none"/>
        </w:rPr>
        <w:t>en zonas comunes con detector de presencias</w:t>
      </w:r>
    </w:p>
    <w:p>
      <w:pPr>
        <w:pStyle w:val="BodyText"/>
        <w:spacing w:line="257" w:lineRule="exact"/>
        <w:ind w:left="100" w:right="25"/>
        <w:rPr>
          <w:u w:val="none"/>
        </w:rPr>
      </w:pPr>
      <w:r>
        <w:rPr>
          <w:u w:val="single"/>
        </w:rPr>
        <w:t>Vallado de parcela </w:t>
      </w:r>
      <w:r>
        <w:rPr>
          <w:u w:val="none"/>
        </w:rPr>
        <w:t>con muretes y cerrajería metálica.</w:t>
      </w:r>
    </w:p>
    <w:p>
      <w:pPr>
        <w:pStyle w:val="BodyText"/>
        <w:spacing w:before="1"/>
        <w:ind w:left="100" w:right="25"/>
        <w:rPr>
          <w:u w:val="none"/>
        </w:rPr>
      </w:pPr>
      <w:r>
        <w:rPr>
          <w:u w:val="none"/>
        </w:rPr>
        <w:t>Muros de contención en urbanización exterior, piedra natural en gaviones con malla metálica.</w:t>
      </w:r>
    </w:p>
    <w:sectPr>
      <w:pgSz w:w="11910" w:h="16840"/>
      <w:pgMar w:header="381" w:footer="0" w:top="1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68431383">
          <wp:simplePos x="0" y="0"/>
          <wp:positionH relativeFrom="page">
            <wp:posOffset>2648711</wp:posOffset>
          </wp:positionH>
          <wp:positionV relativeFrom="page">
            <wp:posOffset>428243</wp:posOffset>
          </wp:positionV>
          <wp:extent cx="2008632" cy="54254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863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369995pt;margin-top:18.038881pt;width:108.7pt;height:14pt;mso-position-horizontal-relative:page;mso-position-vertical-relative:page;z-index:-4048" type="#_x0000_t202" filled="false" stroked="false">
          <v:textbox inset="0,0,0,0">
            <w:txbxContent>
              <w:p>
                <w:pPr>
                  <w:pStyle w:val="BodyText"/>
                  <w:spacing w:line="262" w:lineRule="exact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w w:val="140"/>
                    <w:sz w:val="24"/>
                    <w:u w:val="none"/>
                  </w:rPr>
                  <w:t>P</w:t>
                </w:r>
                <w:r>
                  <w:rPr>
                    <w:rFonts w:ascii="Times New Roman"/>
                    <w:w w:val="140"/>
                    <w:u w:val="none"/>
                  </w:rPr>
                  <w:t>rolugarfer, S.L.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ind w:left="100" w:right="25"/>
      <w:outlineLvl w:val="1"/>
    </w:pPr>
    <w:rPr>
      <w:rFonts w:ascii="Cambria" w:hAnsi="Cambria" w:eastAsia="Cambria" w:cs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Socrates</dc:creator>
  <dcterms:created xsi:type="dcterms:W3CDTF">2017-06-28T20:01:59Z</dcterms:created>
  <dcterms:modified xsi:type="dcterms:W3CDTF">2017-06-28T20:01:59Z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